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A" w:rsidRPr="00E91B9D" w:rsidRDefault="00075DAA" w:rsidP="00E91B9D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91B9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91B9D" w:rsidRPr="00E91B9D" w:rsidRDefault="00E91B9D" w:rsidP="00E91B9D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 xml:space="preserve">к Положению </w:t>
      </w:r>
      <w:r w:rsidRPr="00E91B9D"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</w:t>
      </w:r>
    </w:p>
    <w:p w:rsidR="00E91B9D" w:rsidRPr="00E91B9D" w:rsidRDefault="00E91B9D" w:rsidP="00E91B9D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«Успешная школа»</w:t>
      </w:r>
    </w:p>
    <w:bookmarkEnd w:id="0"/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  <w:r w:rsidRPr="00200AB8">
        <w:rPr>
          <w:rFonts w:ascii="Times New Roman" w:hAnsi="Times New Roman" w:cs="Times New Roman"/>
          <w:i/>
          <w:sz w:val="24"/>
        </w:rPr>
        <w:t>И. Фрум</w:t>
      </w:r>
      <w:r>
        <w:rPr>
          <w:rFonts w:ascii="Times New Roman" w:hAnsi="Times New Roman" w:cs="Times New Roman"/>
          <w:i/>
          <w:sz w:val="24"/>
        </w:rPr>
        <w:t xml:space="preserve">ин, М. </w:t>
      </w:r>
      <w:proofErr w:type="spellStart"/>
      <w:r>
        <w:rPr>
          <w:rFonts w:ascii="Times New Roman" w:hAnsi="Times New Roman" w:cs="Times New Roman"/>
          <w:i/>
          <w:sz w:val="24"/>
        </w:rPr>
        <w:t>Добрякова</w:t>
      </w:r>
      <w:proofErr w:type="spellEnd"/>
      <w:r>
        <w:rPr>
          <w:rFonts w:ascii="Times New Roman" w:hAnsi="Times New Roman" w:cs="Times New Roman"/>
          <w:i/>
          <w:sz w:val="24"/>
        </w:rPr>
        <w:t>, И. Реморенко</w:t>
      </w:r>
    </w:p>
    <w:p w:rsidR="00075DAA" w:rsidRDefault="00075DAA" w:rsidP="001E179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75DAA">
        <w:rPr>
          <w:rFonts w:ascii="Times New Roman" w:hAnsi="Times New Roman" w:cs="Times New Roman"/>
          <w:b/>
          <w:sz w:val="24"/>
        </w:rPr>
        <w:t>Универсальные компетентности и новая грамотность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короткий текст - первое представление предварительных итогов масштабного международного проекта, объединившего исследователей из ведущих университетов восьми стран в работе над анализом глобальных трансформаций содержания школьного образования, с точки зрения универсальных компетентностей и новой грамотности. Полный текст доклада по итогам проекта б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удет представлен в октябре 2018 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года. Мы благодарим наших соавторов по докладу (18 специалистов из разных стран). Комментарии и советы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А.Г.Асмолова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В.А.Болотова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Я.И.Кузьминова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П.О.Лукши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М.А.Пинской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О.А.Подольского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М.Н.Раковой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А.Л.Семенова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Р.Н.Уразова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О.Д.Федорова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Е.В.Чернобай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Ю.В.Чечет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ходе работы были очень полезны. Мы с удовольствием отмечаем большой вклад представителей проектов «Образование 2030» (Организация экономического с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отрудничества и развития, ОЭСР)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«Образовательн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программы будущего» (ЮНЕСКО)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обсуждение вопросов и материалов нашего доклада. Мы искренне благодарны благотворительному фонду «Вклад в будущее» за постановку задачи и поддержку проекта. Учитывая, что этот материал носит предварительный характер, мы будем признательны читателям за вопросы, комментарии, предложения.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проект «Универсальные компетентности и новая грамотность» должен был решить три задачи: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понятийной рамки развития компетентностей и новой грамотности (далее - рамки) в школьном образовании;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лучшего мирового опыта в этой сфере;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предложений по трансформации школьного образования в России, которые содействовали бы его международной конкурентоспособности.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материале анализируется глобальный контекст, в котором происходит сейчас обновление содержания и технологий образования. В нем представлен проект рамки и варианты необходимых шагов для ее реализации в российской школе.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проекта на первом этапе столкнулась с серьезной терминологической трудностью прежде всего в отношении словосочетаний, обозначающих не предметные (или специальные) компетентности, а компетентности решения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есть не ограниченных отдельными предметами или сферами, задач. Проведенный анализ литературы и нормативных документов (более 180 различных рамок компетентностей) позволяет утверждать, что выражения «ключевые компетентности (навыки)» и «универсальные компетентности (навыки)», «навыки XXI века»,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(умения)» употребляются практически всегда как синонимы. Все это создает понятийную и терминологическую ситуацию, которую многие исследователи и образовательные политики характеризуют как концептуальную путаницу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conceptual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 международная рабочая группа предложила остановиться на одном термине - «универсальные компетентности», который и будет использоваться в данном материале. Разъяснения этого термина, его сравнение с термином «грамотность» приводятся в третьем разделе. С точки зрения авторов доклада, слово «универсальный» отражает как массовый - необходимый для всех - характер этих компетентностей, так и то, что они не ограничены какой-либо особой областью деятельности.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Эволюция содержания школьного образования - курс на универсальные компетентности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XX века в развитых странах (независимо от политического и экономического устройства) оформилась модель школы, настроенной на индустриальное производство: всеобщее образование, обязательное обучение в школе на протяжении 8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11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стандартное для всех предметное содержание. Массовое участие населения в такой образовательной модели изменило качество человеческого капитала и поставило перед образованием новые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государственные власти и межгосударственные организации озаботились минимальным единым содержанием школьного образования, поскольку всеобщее школьное образование не может селективно отбирать учащихся. Оно должно обеспечить каждого минимальным набором знаний и умений и не просто готовить отдельных счастливцев к следующим ступеням обучения, но и формировать базовые навыки для успешной жизни в меняющемся обществе.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уже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годах эксперты в сфере образования заговорили о принципиальной недостаточности одних лишь предметных знаний, о необходимости более широкого понимания целей массового образования. Западный подход к этой проблеме сформулирован ЮНЕСКО в Концепции непрерывного образования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годах и уточнен в докладе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(1972), выделяющем четыре ключевых блока компетентностей: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со знанием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действием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существованием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жизнью с другими людьми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together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в это же время появился «манифест»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Э.Ильенкова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должна учить мыслить», начались разработки «обучения, развивающего мышление».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1980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в большинстве развитых стран традиционные учебные программы были дополнены заданиями для развития мышления в целом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критического мышления в частности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critical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тренд не требовал и не требует радикального изменения структуры предметного обучения и даже основных массовых технологий обучения, но предполагает изменение содержания заданий и оценки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новые требования к системе массового образования пришли со стороны бизнеса (эта тенденция Россию до начала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не затронула). Они появились прежде всего в связи с изменением структуры рынка труда и типов труда: доля рутинного труда уменьшалась, а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нерутинного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физического, так и умственного) - существенно росла. Возник массовый спрос на труд, требующий экспертного анализа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analysis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сложной коммуникации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Бизнес-ассоциации стали настаивать: массовое образование должно развивать «мягкие навыки», или «универсальные навыки» («ключевые компетентности», «навыки XXI века»,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том числе навыки самоорганизации, коммуникации, кооперации, коллективного использования сложных инструментов труда. В последние десятилетия крупнейшие мировые корпорации, прежде всего высокотехнологичные, продолжают исследования рынка труда и заявляют: работодатели заинтересованы в сотрудниках, умеющих критически мыслить и креативно решать задачи, открытых новым знаниям и инновационным подходам, способных эффективно общаться и работать в команде (например,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стран 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требования бизнеса не находили значимого отражения в школьном образовании.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повышение неопределенности будущего в связи с быстрым изменением технологий и условий жизни также предъявило новые требования к результатам школьного образования - оно становится для каждого лишь этапом обучения, длящегося всю жизнь, требует формирования умения учиться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адаптироваться к новым условиям.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формирование умения учиться также не входило в число задач школьного 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в-четвертых, к началу XXI века стало понятно, что устарело и предметное содержание школьного образования, сформировавшееся в середине прошлого века. Различные профессиональные и общественные группы начали указывать на это отставание и настаивать: дополнительные знания должны быть включены в обязательную школьную программу, они являются новой грамотностью. К 2010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список таких «новых грамотностей» насчитывал более 50 наименований, включая финансовую, медицинскую, цифровую, правовую, экологическую и другие «грамотности».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новой грамотности стало и понимание глобального контекста жизни каждого человека.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самое влиятельное международное исследование качества школьного образования PISA добавило в число проверяемых компетентностей «глобальную компетентность»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competence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которая подразумевает наличие у человека знаний, установок, умений и навыков, позволяющих: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проблемы с различных позиций - локальных, глобальных, межкультурных;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уважать картину мира, точку зрения других людей;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открытом и эффективном взаимодействии с представителями различных культур;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усилия для обеспечения коллективного благополучия и устойчивого развития.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расширилось понимание традиционной грамотности, суть которой в способности воспринимать и транслировать информацию в различных форматах (текстовых и визуальных, на языках естественных и формальных и т. д.). Умение обращаться с информацией стало основой для способности к дальнейшему обучению на протяжении всей жизни, для расширения возможностей участия в экономической и социальной жизни.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системы реагировали на эти требования добавлением новых элементов (и даже новых курсов) в учебные программы, но не трансформировали их системно.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темпы глобальных изменений в большинстве областей серьезно опережают темпы обновления школьного образования и программ подготовки педагогов. Постепенное обновление содержания образовательных программ вслед за изменением технологий и условий жизни оказывается неэффективным - готовые знания «в коробке» с большей долей вероятности устареют к моменту выхода выпускника на рынок труда.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XXI века международным организациям (ЮНЕСКО, Всемирный банк, ОЭСР) и передовым национальным системам образования стало очевидно: названные четыре тенденции демонстрируют необходимость трансформации содержания школьного образования. Они требуют не повторения лучших практик и моделей прошлого, а ориентации на будущее.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Национальные и глобальные проекты по обновлению содержания образования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перестройку образова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(</w:t>
      </w:r>
      <w:proofErr w:type="spellStart"/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куррикулумову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ориентацией на ключевые (универсальные) компетентности начали страны с быстро развивающейся инновационной экономикой: Финляндия и Австралия, отдельные штаты США и провинции Канады, Южная Корея, Сингапур, Шотландия и Ирландия. Они разрабатывали: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универсальных компетентностей;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развития компетентностей и средства их оценки;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развития компетентностей - в рамках традиционных предметов и на специальных занятиях;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«новой грамотности».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к этому движению присоединяются и другие страны: Китай, Япония, Германия, Нидерланды, Норвегия, развитые страны Латинской Америки, постсоциалистические страны Европы.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еще не сформирована глобально принятая модель, но уже ясно: в центре трансформации не столько обновление устаревшего содержания (понимаемого как современное научное знание, адаптированное для школы и распределенное по учебным предметам) и даже не столько специальные курсы по развитию универсальных навыков, сколько системное изменение методов обучения и оценки учебных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общему вектору, каждая страна прокладывает свой путь c учетом своих уникальных особенностей - культурно-исторических, социально-демографических и экономических. Тем не менее, сопоставив стратегии и социально-политические обстоятельства, в которых страны проводили образовательные реформы, можно выделить общие черты, позволяющие успешно двигаться по намеченному пути.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образовательной политики: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Фокусировка на нескольких амбициозных целях.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Инвестиции в педагогов, их постоянное профессиональное развитие.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Опора на данные, подкрепление решений результатами мониторингов и исследований хода преобразования.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Прозрачность, поддержание коммуникации с заинтересованными сторонами, включая родителей, учащихся, бизнес, местные сообщества, государство.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результатов образования не в терминах осваиваемого материала, а в терминах готовности выпускников школы решать реальные задачи (эту готовность, как правило, называют компетентностью в соответствующей области, или предметной компетентностью).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Включение в ожидаемые результаты образования не только предметных компетентностей, но и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личностных характеристик (ценностей, установок).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конструирования образовательных программ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Важные для страны компетентности и виды грамотности собраны в четкий перечень.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универсальных компетентностей вплетено в освоение предметного знания; это не отдельная задача, а особенность учебного процесса (хотя могут быть и специальные тренинги, курсы).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Предметный материал формулируется крупными смысловыми блоками с выделением ключевых понятий, которые ученики должны уметь применять при решении задач в реальной жизни. Обозначаются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Акцент не на жесткой детальной фиксации материала обучения, а на образовательных результатах, формулируемых в терминах «что умеет ученик», «насколько он владеет определенными компетентностями».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Итоговая аттестация включает оценку универсальных компетентностей.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педагогических практик: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 не на деятельности учителя по представлению нового учебного материала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instruction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на стимулировании собственной учебной деятельности школьника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мотивирующей образовательной среды (положительные эмоции и амбициозные задачи для каждого ученика, принцип «ученик - владелец процесса, учитель - наставник»).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через исследование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inquiry-based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ученик (один или вместе с другими учениками) уточняет задачу, ищет информацию, представляет результат, формулирует критерии оценки и вместе с учителем оценивает успешность выполнения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для обучения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выполняет функцию обратной связи - показывает сильные и слабые результаты, высвечивает ближайшие и долгосрочные цели учебной работы.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Персонализированное обучение.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Учебные задачи и учебный опыт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релевантны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реальному опыту ученика, актуальны для него.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Проектное обучение: прежде всего групповые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(3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15 чел.) длительностью от нескольких дней до целого учебного года, в том числе в связке с реальными задачами своего сообщества (города, округа).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 все страны во главу угла помещают ученика, подчеркивают его непосредственный образовательный опыт и активную исследовательскую позицию в ходе обучения. Задачей образования становится не только правильное «предложение» содержания образования, но и формирование «активного ученика», умеющего и любящего узнавать новое, разбираться в неизвестном.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тексте доклада подробно рассматриваются педагогические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Международные организации также попытались дать «глобальные» рекомендации в этой области.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ОЭСР запустила проект под названием «Определение и выбор компетентностей: теоретические и концептуальные основания»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DeSeCo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Целью проекта было определить универсальные компетентности для успешной жизни и благополучного функционирования общества - каждая подобная компетентность должна отвечать интересам общества и индивидов, помогать людям удовлетворять различные потребности, быть важной как в профессиональной и общественной, так и в личной жизни каждого человека. Аналогичные инициативы, в том числе предпринятые крупными технологическими компаниями, были реализованы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ЮНЕСКО и рядом международных консорциумов: ATC21S,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(REX,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Disney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новых ориентиров образования неоднократно поднимался и на Всемирном экономическом форуме (например, в докладе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все эти проекты носили в значительной степени нормативный характер, они предлагали рекомендации, чему должна научить школа, и расширяли список компетентностей, но не отвечали на вопрос, как трансформировать существующую систему. Более того, каждый новый пакет рекомендаций усложнял общую картину: списки «компетентностей» и «новых грамотностей» росли, удлинялись, множилась путаница с синонимами. Ни один из этих проектов не анализировал существующие практические попытки трансформации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передовых системах. В полном тексте доклада подробно рассматриваются кейсы трансформации образовательных систем, иллюстрирующие разные подходы к этой задаче: Великобритания (Англия), Канада (Онтарио), Китай, Южная Корея, Польша, США (Северная Каролина), Финляндия.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несмотря на то что общее направление очерчено четко: смещение акцента от предметных знаний к универсальным компетентностям, многие вопросы, начиная от определения основных предметных знаний (в том числе подходов к преобразованию фундаментального научного знания в учебную дисциплину для всех школьников) и заканчивая оцениванием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компетентностей, до сих пор остаются открытыми. Стало ясно, что нужны более систематические концептуальная проработка и анализ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этот вызов, ОЭСР начала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проект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2030», задачей которого является глобальный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межстрановый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современных тенденций трансформации школьного образования и формулирование желательных направлений его развития. Это беспрецедентный проект, нацеленный на формирование к 2020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общих для большинства развитых стран принципов развития школы. В нем анализируются не только новые компетентности и грамотности, но и все предметное содержание, методы оценки.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«Универсальные компетентности и новая грамотность» (УКНГ), инициированный благотворительным фондом «Вклад в будущее» в 2017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 носит более сфокусированный характер. Как и проект ОЭСР, он направлен на концептуальное прояснение идущей трансформации школьного образования5, но ориентирован не столько на обновление всего предметного содержания, сколько на ответы на три конкретных вопроса: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универсальные компетентности и виды грамотности важны (и как разобраться во множестве существующих списков, систематизировать их)?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их формировать в школе?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для этого начать трансформировать российскую школу уже сейчас?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отличия проекта УКНГ от проекта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 в его фокусировке на универсальных компетентностях и новой грамотности и в его практической направленности: подготовке рекомендаций для трансформации российской школы с учетом опыта наиболее продвинутых стран уже сейчас, не дожидаясь 2030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Именно это сочетание концептуальной и практической проработки определило приглашение в проект партнеров - факультеты образования ведущих исследовательских университетов из семи стран. Эти факультеты не только исследуют реальность школы и разрабатывают концепции развития образования, но и ведут подготовку и переподготовку учителей и руководителей школ.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проект УКНГ сфокусирован только на проблеме компетентностей и грамотности и пока оставляет за пределами анализа важнейший вопрос мотивации, активности, инициативы учащихся.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связи формирования компетентностей и мотивации - задача следующего шага работы, сфокусированного на педагогической практике.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Общая рамка универсальных компетентностей и новой грамотности, разработанная в проекте УКНГ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международных рамок навыков XXI века (ОЭСР, ЮНЕСКО, Всемирный экономический форум, ATC21S, P21,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сравнительных обзорных работ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2017;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Voogt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Roblin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Kereluik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2013;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Pellegrino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Hilton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2012) показывает, что при всей разнице слов все они имеют схожий набор элементов, относящихся либо к универсальным компетентностям, либо к так называемой новой грамотности. На прикладном уровне при этом нет принципиальных различий между понятиями «универсальная компетентность», «универсальный навык», они так или иначе означают наличие у человека способности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capacity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</w:t>
      </w:r>
      <w:r w:rsidRP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йствовать определенным образом.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Универсальные компетентности - понятийная рамка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командой проекта УКНГ экспертно-аналитическая работа показывает, что наиболее устойчивым является выделение трех целостных универсальных компетентностей, воспроизводящихся в существующих классификациях и соответствующих авторитетным теориям деятельности и развития личности. Далее представлены эти компетентности, в каждой из них приведены примеры более узких умений, которые употребляются при реализации этих компетентностей. Приведенные списки этих умений не являются и не могут быть исчерпывающими, и в этом принципиальное преимущество рамки: фокус не на сортировке конечного набора терминов, а на типе действия и поведенческих результатах позволяет соотносить рамку с любыми другими рамками и дополнять ее новыми умениями в зависимости от конкретного контекста и содержания решаемых задач.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Компетентность мышления: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анализ и интерпретация задачи, поиск и выделение закономерностей в массиве фактов; идентификация неявно заданных качеств предметов и явлений, скрытых ресурсов для решения задачи; выстраивание причинно-следственных цепочек, в том числе разветвленных с необходимой степенью детализации; применение формальной логики в условиях недостаточного знания; выделение главного, противоречий, аналогий, построение классификаций…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вариантов для решения комплексных задач, в том числе открытых (имеющих более одного решения);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 мышление, изобретательность (продуктивное действие в ситуациях новизны и неопределенности при недостатке информации; создание собственного продукта, обладающего субъективной или объективной новизной и оригинальностью);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мышление, понимание и интерпретация эстетики закономерностей и степени универсальности их применения;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симуляционное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комплексных процессов и явлений (выбор и учет значимых факторов, принятие решений в изменчивой среде, в том числе организованной сетевым образом; управление рисками, компенсация провалов и сохранение устойчивости системы; модульные многозадачные решения; выбор баланса между скоростью при выполнении известного алгоритма и адаптивностью к изменившимся условиям)…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 Компетентность взаимодействия с другими: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кооперативность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сотрудничеству, совместной работе (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сooperation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collaboration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в роли лидера и в роли участника команды, ответственность и ее распределение, координация действий внутри команды;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 Компетентность взаимодействия с собой: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в том числе распознавание своих эмоций и управление ими;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универсальных компетентностей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узком, академическом, смысле и в широком смысле овладения любыми новыми навыками, в которых возникает профессиональная или жизненная необходимость).</w:t>
      </w:r>
    </w:p>
    <w:p w:rsidR="00075DAA" w:rsidRPr="00075DAA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именно этих трех компетентностей и является сегодня важной задачей массового школьного образования.</w:t>
      </w:r>
    </w:p>
    <w:p w:rsidR="00075DAA" w:rsidRPr="001E179E" w:rsidRDefault="00075DAA" w:rsidP="001E179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9A096B" w:rsidRPr="001E179E" w:rsidRDefault="00075DAA" w:rsidP="001E179E">
      <w:pPr>
        <w:ind w:firstLine="567"/>
        <w:jc w:val="both"/>
        <w:rPr>
          <w:rFonts w:ascii="Times New Roman" w:hAnsi="Times New Roman" w:cs="Times New Roman"/>
        </w:rPr>
      </w:pPr>
      <w:r w:rsidRPr="001E179E">
        <w:rPr>
          <w:rFonts w:ascii="Times New Roman" w:hAnsi="Times New Roman" w:cs="Times New Roman"/>
          <w:i/>
          <w:sz w:val="24"/>
        </w:rPr>
        <w:t>«Учительская газета». – №30. – 2018.</w:t>
      </w:r>
    </w:p>
    <w:sectPr w:rsidR="009A096B" w:rsidRPr="001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A"/>
    <w:rsid w:val="00075DAA"/>
    <w:rsid w:val="001558D9"/>
    <w:rsid w:val="00163569"/>
    <w:rsid w:val="001E179E"/>
    <w:rsid w:val="009A096B"/>
    <w:rsid w:val="00AE6BD3"/>
    <w:rsid w:val="00D846EA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A35"/>
  <w15:chartTrackingRefBased/>
  <w15:docId w15:val="{8E0D68CD-3ED1-4DA4-87FD-60A323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75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5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Tata</cp:lastModifiedBy>
  <cp:revision>2</cp:revision>
  <dcterms:created xsi:type="dcterms:W3CDTF">2019-08-09T07:54:00Z</dcterms:created>
  <dcterms:modified xsi:type="dcterms:W3CDTF">2019-08-09T07:54:00Z</dcterms:modified>
</cp:coreProperties>
</file>